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676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</w:t>
      </w:r>
      <w:r w:rsidR="00B51106">
        <w:rPr>
          <w:rFonts w:ascii="Times New Roman" w:hAnsi="Times New Roman" w:cs="Times New Roman"/>
          <w:sz w:val="28"/>
          <w:szCs w:val="28"/>
        </w:rPr>
        <w:t>2</w:t>
      </w:r>
      <w:r w:rsidRPr="00592676">
        <w:rPr>
          <w:rFonts w:ascii="Times New Roman" w:hAnsi="Times New Roman" w:cs="Times New Roman"/>
          <w:sz w:val="28"/>
          <w:szCs w:val="28"/>
        </w:rPr>
        <w:t>-</w:t>
      </w:r>
      <w:r w:rsidR="00B51106">
        <w:rPr>
          <w:rFonts w:ascii="Times New Roman" w:hAnsi="Times New Roman" w:cs="Times New Roman"/>
          <w:sz w:val="28"/>
          <w:szCs w:val="28"/>
        </w:rPr>
        <w:t>3</w:t>
      </w:r>
      <w:r w:rsidRPr="00592676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gramStart"/>
      <w:r w:rsidRPr="00592676">
        <w:rPr>
          <w:rFonts w:ascii="Times New Roman" w:hAnsi="Times New Roman" w:cs="Times New Roman"/>
          <w:sz w:val="28"/>
          <w:szCs w:val="28"/>
        </w:rPr>
        <w:t>в</w:t>
      </w:r>
      <w:r w:rsidR="00B51106">
        <w:rPr>
          <w:rFonts w:ascii="Times New Roman" w:hAnsi="Times New Roman" w:cs="Times New Roman"/>
          <w:sz w:val="28"/>
          <w:szCs w:val="28"/>
        </w:rPr>
        <w:t xml:space="preserve"> </w:t>
      </w:r>
      <w:r w:rsidRPr="00592676">
        <w:rPr>
          <w:rFonts w:ascii="Times New Roman" w:hAnsi="Times New Roman" w:cs="Times New Roman"/>
          <w:sz w:val="28"/>
          <w:szCs w:val="28"/>
        </w:rPr>
        <w:t xml:space="preserve"> </w:t>
      </w:r>
      <w:r w:rsidR="00B51106">
        <w:rPr>
          <w:rFonts w:ascii="Times New Roman" w:hAnsi="Times New Roman" w:cs="Times New Roman"/>
          <w:sz w:val="28"/>
          <w:szCs w:val="28"/>
        </w:rPr>
        <w:t>первой</w:t>
      </w:r>
      <w:proofErr w:type="gramEnd"/>
      <w:r w:rsidRPr="00592676">
        <w:rPr>
          <w:rFonts w:ascii="Times New Roman" w:hAnsi="Times New Roman" w:cs="Times New Roman"/>
          <w:sz w:val="28"/>
          <w:szCs w:val="28"/>
        </w:rPr>
        <w:t xml:space="preserve"> младшей группе разработана воспитателями группы.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Представленная рабочая программа педагогов, работающего с детьми </w:t>
      </w:r>
      <w:r w:rsidR="0096281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592676">
        <w:rPr>
          <w:rFonts w:ascii="Times New Roman" w:hAnsi="Times New Roman" w:cs="Times New Roman"/>
          <w:sz w:val="28"/>
          <w:szCs w:val="28"/>
        </w:rPr>
        <w:t xml:space="preserve"> младшей группы обеспечивает преемственность с примерными основными образовательными программами дошкольного образования и соответствует основной образовательной программе дошкольного образования МБДОУ «Детский сад №141» и примерной основной образовательной программе дошкольного образования «ДЕТСТВО» под ред. Т.И. Бабаевой, А.Г. Гогоберидзе, О.В. Солнцевой и др.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</w:t>
      </w:r>
      <w:r w:rsidR="00962818">
        <w:rPr>
          <w:rFonts w:ascii="Times New Roman" w:hAnsi="Times New Roman" w:cs="Times New Roman"/>
          <w:sz w:val="28"/>
          <w:szCs w:val="28"/>
        </w:rPr>
        <w:t>1</w:t>
      </w:r>
      <w:r w:rsidRPr="00592676">
        <w:rPr>
          <w:rFonts w:ascii="Times New Roman" w:hAnsi="Times New Roman" w:cs="Times New Roman"/>
          <w:sz w:val="28"/>
          <w:szCs w:val="28"/>
        </w:rPr>
        <w:t xml:space="preserve"> младшей группы.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5) сотрудничество ДОУ с семьей;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6) приобщение детей к социокультурных нормам, традициям семьи, общества и государства;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ребенка в разных видах детской деятельности; 8) возрастная адекватность дошкольного образования (соответствие условий, требований, методов возрасту и особенностям развития); 9) учет этнокультурной ситуации развития детей.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содержит 3 раздела: целевой, содержательный и организационный. </w:t>
      </w:r>
    </w:p>
    <w:p w:rsid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lastRenderedPageBreak/>
        <w:t xml:space="preserve">Целевой раздел содержит пояснительную записку, которой определена цель программы –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92676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592676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Дана характеристика возрастных особенностей детей 3-4 лет. Программа направлена на развитие самостоятельности, познавательной и коммуникативной активности, социальной уверенности и ценностных ориентации, определяющих поведение, деятельность и отношение ребенка к миру. Решение образовательных задач осуществляется в процессе непосредственно образовательной деятельности, в совместной деятельности взрослого и детей, в самостоятельной деятельности детей, при проведении режимных моментов, прогулок в соответствии со спецификой детей данного возраста. </w:t>
      </w:r>
    </w:p>
    <w:p w:rsidR="00181E2B" w:rsidRPr="00592676" w:rsidRDefault="00592676" w:rsidP="00592676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>В Программе уделяется внимание развитию детей по 5 образовательным областям: физическому развитию, социально - коммуникативному, познавательному, речевому, художественно-эстетическому развитию. Содержательный раздел включает в себя перспективно-тематическое планирование на учебный год, календарь тематических недель, описание форм психолого-педагогической работы по основным образовательным областям, перечень программно-методического обеспечения по образовательным областям.</w:t>
      </w:r>
    </w:p>
    <w:sectPr w:rsidR="00181E2B" w:rsidRPr="0059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6"/>
    <w:rsid w:val="00181E2B"/>
    <w:rsid w:val="00592676"/>
    <w:rsid w:val="00962818"/>
    <w:rsid w:val="00B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7666"/>
  <w15:chartTrackingRefBased/>
  <w15:docId w15:val="{82836668-6BB7-4693-B9A9-22BF14CE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SHARKY</cp:lastModifiedBy>
  <cp:revision>3</cp:revision>
  <dcterms:created xsi:type="dcterms:W3CDTF">2018-10-12T18:37:00Z</dcterms:created>
  <dcterms:modified xsi:type="dcterms:W3CDTF">2018-10-12T18:54:00Z</dcterms:modified>
</cp:coreProperties>
</file>